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BE" w:rsidRPr="006D0715" w:rsidRDefault="001B1EBE" w:rsidP="001B1EBE">
      <w:pPr>
        <w:rPr>
          <w:b/>
        </w:rPr>
      </w:pPr>
      <w:r w:rsidRPr="00A70B2D">
        <w:t xml:space="preserve">CARRERA: </w:t>
      </w:r>
      <w:r w:rsidRPr="00A50AF8">
        <w:rPr>
          <w:b/>
        </w:rPr>
        <w:t xml:space="preserve">GEOGRAFÍA  </w:t>
      </w:r>
      <w:r w:rsidRPr="00A70B2D">
        <w:t xml:space="preserve">        </w:t>
      </w:r>
      <w:r>
        <w:t xml:space="preserve">                  </w:t>
      </w:r>
      <w:r w:rsidRPr="00A70B2D">
        <w:t xml:space="preserve">ASIGNATURA: </w:t>
      </w:r>
      <w:r w:rsidRPr="00A50AF8">
        <w:rPr>
          <w:b/>
        </w:rPr>
        <w:t xml:space="preserve">ESPACIOS </w:t>
      </w:r>
      <w:r>
        <w:rPr>
          <w:b/>
        </w:rPr>
        <w:t>URBANOS</w:t>
      </w:r>
      <w:r w:rsidRPr="00A70B2D">
        <w:t xml:space="preserve"> </w:t>
      </w:r>
    </w:p>
    <w:p w:rsidR="001B1EBE" w:rsidRPr="00A70B2D" w:rsidRDefault="001B1EBE" w:rsidP="001B1EBE">
      <w:r w:rsidRPr="00A70B2D">
        <w:t xml:space="preserve">DOCENTE: </w:t>
      </w:r>
      <w:r w:rsidRPr="00A50AF8">
        <w:rPr>
          <w:b/>
        </w:rPr>
        <w:t>Lic. ARIEL GONZALEZ</w:t>
      </w:r>
      <w:r w:rsidRPr="00A70B2D">
        <w:t xml:space="preserve">             CICLO LECTIVO: </w:t>
      </w:r>
      <w:r>
        <w:rPr>
          <w:b/>
        </w:rPr>
        <w:t>1er</w:t>
      </w:r>
      <w:r w:rsidRPr="00A50AF8">
        <w:rPr>
          <w:b/>
        </w:rPr>
        <w:t xml:space="preserve"> CUATRIMESTRE 20</w:t>
      </w:r>
      <w:r>
        <w:rPr>
          <w:b/>
        </w:rPr>
        <w:t>20</w:t>
      </w:r>
      <w:r w:rsidRPr="00A70B2D">
        <w:t xml:space="preserve"> </w:t>
      </w:r>
    </w:p>
    <w:tbl>
      <w:tblPr>
        <w:tblStyle w:val="Tablaconcuadrcula"/>
        <w:tblW w:w="0" w:type="auto"/>
        <w:tblLook w:val="04A0"/>
      </w:tblPr>
      <w:tblGrid>
        <w:gridCol w:w="817"/>
        <w:gridCol w:w="851"/>
        <w:gridCol w:w="992"/>
        <w:gridCol w:w="4252"/>
        <w:gridCol w:w="1732"/>
      </w:tblGrid>
      <w:tr w:rsidR="001B1EBE" w:rsidTr="001B1EBE">
        <w:tc>
          <w:tcPr>
            <w:tcW w:w="817" w:type="dxa"/>
          </w:tcPr>
          <w:p w:rsidR="001B1EBE" w:rsidRDefault="001B1EBE" w:rsidP="00D2058A">
            <w:r>
              <w:t>CLASE</w:t>
            </w:r>
          </w:p>
        </w:tc>
        <w:tc>
          <w:tcPr>
            <w:tcW w:w="851" w:type="dxa"/>
          </w:tcPr>
          <w:p w:rsidR="001B1EBE" w:rsidRDefault="001B1EBE" w:rsidP="00D2058A">
            <w:r>
              <w:t>FECHA</w:t>
            </w:r>
          </w:p>
        </w:tc>
        <w:tc>
          <w:tcPr>
            <w:tcW w:w="992" w:type="dxa"/>
          </w:tcPr>
          <w:p w:rsidR="001B1EBE" w:rsidRDefault="001B1EBE" w:rsidP="00D2058A">
            <w:r>
              <w:t>UNIDAD</w:t>
            </w:r>
          </w:p>
        </w:tc>
        <w:tc>
          <w:tcPr>
            <w:tcW w:w="4252" w:type="dxa"/>
          </w:tcPr>
          <w:p w:rsidR="001B1EBE" w:rsidRDefault="001B1EBE" w:rsidP="001B1EBE">
            <w:pPr>
              <w:jc w:val="both"/>
            </w:pPr>
            <w:r>
              <w:t>TEMA</w:t>
            </w:r>
          </w:p>
        </w:tc>
        <w:tc>
          <w:tcPr>
            <w:tcW w:w="1732" w:type="dxa"/>
          </w:tcPr>
          <w:p w:rsidR="001B1EBE" w:rsidRDefault="001B1EBE" w:rsidP="00D2058A">
            <w:r>
              <w:t xml:space="preserve">BIBLIOGRAFÍA </w:t>
            </w:r>
          </w:p>
        </w:tc>
      </w:tr>
      <w:tr w:rsidR="001B1EBE" w:rsidTr="001B1EBE">
        <w:tc>
          <w:tcPr>
            <w:tcW w:w="817" w:type="dxa"/>
          </w:tcPr>
          <w:p w:rsidR="001B1EBE" w:rsidRPr="006E315E" w:rsidRDefault="001B1EBE" w:rsidP="00D2058A">
            <w:pPr>
              <w:rPr>
                <w:sz w:val="20"/>
                <w:szCs w:val="20"/>
              </w:rPr>
            </w:pPr>
            <w:r w:rsidRPr="006E315E">
              <w:rPr>
                <w:sz w:val="20"/>
                <w:szCs w:val="20"/>
              </w:rPr>
              <w:t>1</w:t>
            </w:r>
          </w:p>
        </w:tc>
        <w:tc>
          <w:tcPr>
            <w:tcW w:w="851" w:type="dxa"/>
          </w:tcPr>
          <w:p w:rsidR="001B1EBE" w:rsidRPr="006E315E" w:rsidRDefault="001B1EBE" w:rsidP="00D2058A">
            <w:pPr>
              <w:rPr>
                <w:sz w:val="20"/>
                <w:szCs w:val="20"/>
              </w:rPr>
            </w:pPr>
            <w:r>
              <w:rPr>
                <w:sz w:val="20"/>
                <w:szCs w:val="20"/>
              </w:rPr>
              <w:t>26/3</w:t>
            </w:r>
          </w:p>
        </w:tc>
        <w:tc>
          <w:tcPr>
            <w:tcW w:w="992" w:type="dxa"/>
          </w:tcPr>
          <w:p w:rsidR="001B1EBE" w:rsidRPr="006E315E" w:rsidRDefault="001B1EBE" w:rsidP="00D2058A">
            <w:pPr>
              <w:rPr>
                <w:sz w:val="20"/>
                <w:szCs w:val="20"/>
              </w:rPr>
            </w:pPr>
            <w:r w:rsidRPr="006E315E">
              <w:rPr>
                <w:sz w:val="20"/>
                <w:szCs w:val="20"/>
              </w:rPr>
              <w:t>1</w:t>
            </w:r>
          </w:p>
        </w:tc>
        <w:tc>
          <w:tcPr>
            <w:tcW w:w="4252" w:type="dxa"/>
          </w:tcPr>
          <w:p w:rsidR="001B1EBE" w:rsidRDefault="001B1EBE" w:rsidP="001B1EBE">
            <w:pPr>
              <w:jc w:val="both"/>
              <w:rPr>
                <w:rFonts w:cstheme="minorHAnsi"/>
                <w:lang w:val="es-ES"/>
              </w:rPr>
            </w:pPr>
            <w:r>
              <w:rPr>
                <w:rFonts w:cstheme="minorHAnsi"/>
                <w:lang w:val="es-ES"/>
              </w:rPr>
              <w:t>Breve aproximación a los conceptos de Espacios, Territorio, Región, Paisaje y Lugar.</w:t>
            </w:r>
          </w:p>
          <w:p w:rsidR="001B1EBE" w:rsidRPr="006E315E" w:rsidRDefault="001B1EBE" w:rsidP="001B1EBE">
            <w:pPr>
              <w:jc w:val="both"/>
              <w:rPr>
                <w:sz w:val="20"/>
                <w:szCs w:val="20"/>
              </w:rPr>
            </w:pPr>
            <w:r>
              <w:rPr>
                <w:rFonts w:cstheme="minorHAnsi"/>
                <w:lang w:val="es-ES"/>
              </w:rPr>
              <w:t>Distinción entre el concepto de “urbano” y “rural”, enfoques teóricos y técnicos.</w:t>
            </w:r>
          </w:p>
        </w:tc>
        <w:tc>
          <w:tcPr>
            <w:tcW w:w="1732" w:type="dxa"/>
          </w:tcPr>
          <w:p w:rsidR="001B1EBE" w:rsidRDefault="001B1EBE" w:rsidP="00D2058A">
            <w:r>
              <w:t>A Definir clase a clase.-</w:t>
            </w:r>
          </w:p>
        </w:tc>
      </w:tr>
      <w:tr w:rsidR="001B1EBE" w:rsidTr="001B1EBE">
        <w:tc>
          <w:tcPr>
            <w:tcW w:w="817" w:type="dxa"/>
          </w:tcPr>
          <w:p w:rsidR="001B1EBE" w:rsidRPr="006E315E" w:rsidRDefault="001B1EBE" w:rsidP="00D2058A">
            <w:pPr>
              <w:rPr>
                <w:sz w:val="20"/>
                <w:szCs w:val="20"/>
              </w:rPr>
            </w:pPr>
            <w:r w:rsidRPr="006E315E">
              <w:rPr>
                <w:sz w:val="20"/>
                <w:szCs w:val="20"/>
              </w:rPr>
              <w:t>2</w:t>
            </w:r>
          </w:p>
        </w:tc>
        <w:tc>
          <w:tcPr>
            <w:tcW w:w="851" w:type="dxa"/>
          </w:tcPr>
          <w:p w:rsidR="001B1EBE" w:rsidRPr="006E315E" w:rsidRDefault="001B1EBE" w:rsidP="00D2058A">
            <w:pPr>
              <w:rPr>
                <w:sz w:val="20"/>
                <w:szCs w:val="20"/>
              </w:rPr>
            </w:pPr>
            <w:r>
              <w:rPr>
                <w:sz w:val="20"/>
                <w:szCs w:val="20"/>
              </w:rPr>
              <w:t>2/4</w:t>
            </w:r>
          </w:p>
        </w:tc>
        <w:tc>
          <w:tcPr>
            <w:tcW w:w="992" w:type="dxa"/>
          </w:tcPr>
          <w:p w:rsidR="001B1EBE" w:rsidRPr="006E315E" w:rsidRDefault="001B1EBE" w:rsidP="00D2058A">
            <w:pPr>
              <w:rPr>
                <w:sz w:val="20"/>
                <w:szCs w:val="20"/>
              </w:rPr>
            </w:pPr>
            <w:r>
              <w:rPr>
                <w:sz w:val="20"/>
                <w:szCs w:val="20"/>
              </w:rPr>
              <w:t>1</w:t>
            </w:r>
          </w:p>
        </w:tc>
        <w:tc>
          <w:tcPr>
            <w:tcW w:w="4252" w:type="dxa"/>
          </w:tcPr>
          <w:p w:rsidR="001B1EBE" w:rsidRPr="006E315E" w:rsidRDefault="001B1EBE" w:rsidP="001B1EBE">
            <w:pPr>
              <w:jc w:val="both"/>
              <w:rPr>
                <w:sz w:val="20"/>
                <w:szCs w:val="20"/>
              </w:rPr>
            </w:pPr>
            <w:r>
              <w:rPr>
                <w:rFonts w:cstheme="minorHAnsi"/>
                <w:lang w:val="es-ES"/>
              </w:rPr>
              <w:t>El origen de las primeras ciudades. El despertar urbano en la Edad Media.La repercusión de la Revolución Industrial. La ciudad colonial. La búsqueda de la ciudad ideal. Los factores actuales de crecimiento urbano.</w:t>
            </w:r>
          </w:p>
        </w:tc>
        <w:tc>
          <w:tcPr>
            <w:tcW w:w="1732" w:type="dxa"/>
          </w:tcPr>
          <w:p w:rsidR="001B1EBE" w:rsidRDefault="001B1EBE" w:rsidP="00D2058A"/>
        </w:tc>
      </w:tr>
      <w:tr w:rsidR="001B1EBE" w:rsidTr="001B1EBE">
        <w:tc>
          <w:tcPr>
            <w:tcW w:w="817" w:type="dxa"/>
            <w:shd w:val="clear" w:color="auto" w:fill="FF0000"/>
          </w:tcPr>
          <w:p w:rsidR="001B1EBE" w:rsidRPr="001B1EBE" w:rsidRDefault="001B1EBE" w:rsidP="00D2058A">
            <w:pPr>
              <w:rPr>
                <w:sz w:val="20"/>
                <w:szCs w:val="20"/>
              </w:rPr>
            </w:pPr>
            <w:r w:rsidRPr="001B1EBE">
              <w:rPr>
                <w:sz w:val="20"/>
                <w:szCs w:val="20"/>
              </w:rPr>
              <w:t>3</w:t>
            </w:r>
          </w:p>
        </w:tc>
        <w:tc>
          <w:tcPr>
            <w:tcW w:w="851" w:type="dxa"/>
            <w:shd w:val="clear" w:color="auto" w:fill="FF0000"/>
          </w:tcPr>
          <w:p w:rsidR="001B1EBE" w:rsidRPr="001B1EBE" w:rsidRDefault="001B1EBE" w:rsidP="00D2058A">
            <w:pPr>
              <w:rPr>
                <w:sz w:val="20"/>
                <w:szCs w:val="20"/>
              </w:rPr>
            </w:pPr>
            <w:r w:rsidRPr="001B1EBE">
              <w:rPr>
                <w:sz w:val="20"/>
                <w:szCs w:val="20"/>
              </w:rPr>
              <w:t>9/4</w:t>
            </w:r>
          </w:p>
        </w:tc>
        <w:tc>
          <w:tcPr>
            <w:tcW w:w="992" w:type="dxa"/>
            <w:shd w:val="clear" w:color="auto" w:fill="FF0000"/>
          </w:tcPr>
          <w:p w:rsidR="001B1EBE" w:rsidRPr="001B1EBE" w:rsidRDefault="001B1EBE" w:rsidP="00D2058A">
            <w:pPr>
              <w:rPr>
                <w:sz w:val="20"/>
                <w:szCs w:val="20"/>
              </w:rPr>
            </w:pPr>
            <w:r w:rsidRPr="001B1EBE">
              <w:rPr>
                <w:sz w:val="20"/>
                <w:szCs w:val="20"/>
              </w:rPr>
              <w:t>1</w:t>
            </w:r>
          </w:p>
        </w:tc>
        <w:tc>
          <w:tcPr>
            <w:tcW w:w="4252" w:type="dxa"/>
            <w:shd w:val="clear" w:color="auto" w:fill="FF0000"/>
          </w:tcPr>
          <w:p w:rsidR="001B1EBE" w:rsidRPr="001B1EBE" w:rsidRDefault="001B1EBE" w:rsidP="001B1EBE">
            <w:pPr>
              <w:jc w:val="both"/>
              <w:rPr>
                <w:sz w:val="20"/>
                <w:szCs w:val="20"/>
              </w:rPr>
            </w:pPr>
            <w:r w:rsidRPr="001B1EBE">
              <w:rPr>
                <w:sz w:val="20"/>
                <w:szCs w:val="20"/>
              </w:rPr>
              <w:t>Jueves Santos</w:t>
            </w:r>
          </w:p>
        </w:tc>
        <w:tc>
          <w:tcPr>
            <w:tcW w:w="1732" w:type="dxa"/>
            <w:shd w:val="clear" w:color="auto" w:fill="FF0000"/>
          </w:tcPr>
          <w:p w:rsidR="001B1EBE" w:rsidRPr="001B1EBE" w:rsidRDefault="001B1EBE" w:rsidP="00D2058A">
            <w:r w:rsidRPr="001B1EBE">
              <w:t xml:space="preserve"> </w:t>
            </w:r>
          </w:p>
        </w:tc>
      </w:tr>
      <w:tr w:rsidR="001B1EBE" w:rsidTr="001B1EBE">
        <w:tc>
          <w:tcPr>
            <w:tcW w:w="817" w:type="dxa"/>
            <w:shd w:val="clear" w:color="auto" w:fill="FFFFFF" w:themeFill="background1"/>
          </w:tcPr>
          <w:p w:rsidR="001B1EBE" w:rsidRPr="006E315E" w:rsidRDefault="001B1EBE" w:rsidP="00D2058A">
            <w:pPr>
              <w:rPr>
                <w:sz w:val="20"/>
                <w:szCs w:val="20"/>
              </w:rPr>
            </w:pPr>
            <w:r w:rsidRPr="006E315E">
              <w:rPr>
                <w:sz w:val="20"/>
                <w:szCs w:val="20"/>
              </w:rPr>
              <w:t>4</w:t>
            </w:r>
          </w:p>
        </w:tc>
        <w:tc>
          <w:tcPr>
            <w:tcW w:w="851" w:type="dxa"/>
            <w:shd w:val="clear" w:color="auto" w:fill="FFFFFF" w:themeFill="background1"/>
          </w:tcPr>
          <w:p w:rsidR="001B1EBE" w:rsidRPr="006E315E" w:rsidRDefault="001B1EBE" w:rsidP="00D2058A">
            <w:pPr>
              <w:rPr>
                <w:sz w:val="20"/>
                <w:szCs w:val="20"/>
              </w:rPr>
            </w:pPr>
            <w:r>
              <w:rPr>
                <w:sz w:val="20"/>
                <w:szCs w:val="20"/>
              </w:rPr>
              <w:t>16/4</w:t>
            </w:r>
          </w:p>
        </w:tc>
        <w:tc>
          <w:tcPr>
            <w:tcW w:w="992" w:type="dxa"/>
            <w:shd w:val="clear" w:color="auto" w:fill="FFFFFF" w:themeFill="background1"/>
          </w:tcPr>
          <w:p w:rsidR="001B1EBE" w:rsidRPr="006E315E" w:rsidRDefault="001B1EBE" w:rsidP="00D2058A">
            <w:pPr>
              <w:rPr>
                <w:sz w:val="20"/>
                <w:szCs w:val="20"/>
              </w:rPr>
            </w:pPr>
            <w:r>
              <w:rPr>
                <w:sz w:val="20"/>
                <w:szCs w:val="20"/>
              </w:rPr>
              <w:t>1</w:t>
            </w:r>
          </w:p>
        </w:tc>
        <w:tc>
          <w:tcPr>
            <w:tcW w:w="4252" w:type="dxa"/>
            <w:shd w:val="clear" w:color="auto" w:fill="FFFFFF" w:themeFill="background1"/>
          </w:tcPr>
          <w:p w:rsidR="001B1EBE" w:rsidRPr="006E315E" w:rsidRDefault="001B1EBE" w:rsidP="001B1EBE">
            <w:pPr>
              <w:jc w:val="both"/>
              <w:rPr>
                <w:sz w:val="20"/>
                <w:szCs w:val="20"/>
              </w:rPr>
            </w:pPr>
            <w:r>
              <w:rPr>
                <w:rFonts w:cstheme="minorHAnsi"/>
                <w:lang w:val="es-ES"/>
              </w:rPr>
              <w:t>El proceso globalizador y nuevos lineamientos en la urbanización: La ciudad global, las megalópolis, las Aglomeraciones de Tamaño Intermedio (ATIs)</w:t>
            </w:r>
          </w:p>
        </w:tc>
        <w:tc>
          <w:tcPr>
            <w:tcW w:w="1732" w:type="dxa"/>
            <w:shd w:val="clear" w:color="auto" w:fill="FFFFFF" w:themeFill="background1"/>
          </w:tcPr>
          <w:p w:rsidR="001B1EBE" w:rsidRDefault="001B1EBE" w:rsidP="00D2058A"/>
        </w:tc>
      </w:tr>
      <w:tr w:rsidR="001B1EBE" w:rsidTr="001B1EBE">
        <w:trPr>
          <w:trHeight w:val="336"/>
        </w:trPr>
        <w:tc>
          <w:tcPr>
            <w:tcW w:w="817" w:type="dxa"/>
          </w:tcPr>
          <w:p w:rsidR="001B1EBE" w:rsidRPr="006E315E" w:rsidRDefault="001B1EBE" w:rsidP="00D2058A">
            <w:pPr>
              <w:rPr>
                <w:sz w:val="20"/>
                <w:szCs w:val="20"/>
              </w:rPr>
            </w:pPr>
            <w:r w:rsidRPr="006E315E">
              <w:rPr>
                <w:sz w:val="20"/>
                <w:szCs w:val="20"/>
              </w:rPr>
              <w:t>5</w:t>
            </w:r>
          </w:p>
        </w:tc>
        <w:tc>
          <w:tcPr>
            <w:tcW w:w="851" w:type="dxa"/>
          </w:tcPr>
          <w:p w:rsidR="001B1EBE" w:rsidRPr="006E315E" w:rsidRDefault="001B1EBE" w:rsidP="00D2058A">
            <w:pPr>
              <w:rPr>
                <w:sz w:val="20"/>
                <w:szCs w:val="20"/>
              </w:rPr>
            </w:pPr>
            <w:r>
              <w:rPr>
                <w:sz w:val="20"/>
                <w:szCs w:val="20"/>
              </w:rPr>
              <w:t>23/4</w:t>
            </w:r>
          </w:p>
        </w:tc>
        <w:tc>
          <w:tcPr>
            <w:tcW w:w="992" w:type="dxa"/>
          </w:tcPr>
          <w:p w:rsidR="001B1EBE" w:rsidRPr="006E315E" w:rsidRDefault="001B1EBE" w:rsidP="00D2058A">
            <w:pPr>
              <w:rPr>
                <w:sz w:val="20"/>
                <w:szCs w:val="20"/>
              </w:rPr>
            </w:pPr>
            <w:r>
              <w:rPr>
                <w:sz w:val="20"/>
                <w:szCs w:val="20"/>
              </w:rPr>
              <w:t>2</w:t>
            </w:r>
          </w:p>
        </w:tc>
        <w:tc>
          <w:tcPr>
            <w:tcW w:w="4252" w:type="dxa"/>
          </w:tcPr>
          <w:p w:rsidR="001B1EBE" w:rsidRPr="006E315E" w:rsidRDefault="001B1EBE" w:rsidP="001B1EBE">
            <w:pPr>
              <w:jc w:val="both"/>
              <w:rPr>
                <w:sz w:val="20"/>
                <w:szCs w:val="20"/>
              </w:rPr>
            </w:pPr>
            <w:r>
              <w:rPr>
                <w:rFonts w:cstheme="minorHAnsi"/>
                <w:lang w:val="es-ES"/>
              </w:rPr>
              <w:t>Profundización de los  conceptos de “Ciudad”, “Metrópolis”, “Área Metropolitana” y “Región Metropolitana”. Delimitación del concepto “Localidad”, enfoque teórico y censal. El criterio físico, jurídico y sociológico de la “localidad”. Evolución de las localidades argentinas analizadas por medio de los datos censales.  Localidades simples y compuestas.</w:t>
            </w:r>
          </w:p>
        </w:tc>
        <w:tc>
          <w:tcPr>
            <w:tcW w:w="1732" w:type="dxa"/>
          </w:tcPr>
          <w:p w:rsidR="001B1EBE" w:rsidRDefault="001B1EBE" w:rsidP="00D2058A"/>
        </w:tc>
      </w:tr>
      <w:tr w:rsidR="001B1EBE" w:rsidTr="001B1EBE">
        <w:tc>
          <w:tcPr>
            <w:tcW w:w="817" w:type="dxa"/>
          </w:tcPr>
          <w:p w:rsidR="001B1EBE" w:rsidRPr="006E315E" w:rsidRDefault="001B1EBE" w:rsidP="00D2058A">
            <w:pPr>
              <w:rPr>
                <w:sz w:val="20"/>
                <w:szCs w:val="20"/>
              </w:rPr>
            </w:pPr>
            <w:r w:rsidRPr="006E315E">
              <w:rPr>
                <w:sz w:val="20"/>
                <w:szCs w:val="20"/>
              </w:rPr>
              <w:t>6</w:t>
            </w:r>
          </w:p>
        </w:tc>
        <w:tc>
          <w:tcPr>
            <w:tcW w:w="851" w:type="dxa"/>
          </w:tcPr>
          <w:p w:rsidR="001B1EBE" w:rsidRPr="006E315E" w:rsidRDefault="001B1EBE" w:rsidP="00D2058A">
            <w:pPr>
              <w:rPr>
                <w:sz w:val="20"/>
                <w:szCs w:val="20"/>
              </w:rPr>
            </w:pPr>
            <w:r>
              <w:rPr>
                <w:sz w:val="20"/>
                <w:szCs w:val="20"/>
              </w:rPr>
              <w:t>30/4</w:t>
            </w:r>
          </w:p>
        </w:tc>
        <w:tc>
          <w:tcPr>
            <w:tcW w:w="992" w:type="dxa"/>
          </w:tcPr>
          <w:p w:rsidR="001B1EBE" w:rsidRPr="006E315E" w:rsidRDefault="001B1EBE" w:rsidP="00D2058A">
            <w:pPr>
              <w:rPr>
                <w:sz w:val="20"/>
                <w:szCs w:val="20"/>
              </w:rPr>
            </w:pPr>
            <w:r>
              <w:rPr>
                <w:sz w:val="20"/>
                <w:szCs w:val="20"/>
              </w:rPr>
              <w:t>2</w:t>
            </w:r>
          </w:p>
        </w:tc>
        <w:tc>
          <w:tcPr>
            <w:tcW w:w="4252" w:type="dxa"/>
          </w:tcPr>
          <w:p w:rsidR="001B1EBE" w:rsidRPr="006E315E" w:rsidRDefault="001B1EBE" w:rsidP="001B1EBE">
            <w:pPr>
              <w:jc w:val="both"/>
              <w:rPr>
                <w:sz w:val="20"/>
                <w:szCs w:val="20"/>
              </w:rPr>
            </w:pPr>
            <w:r>
              <w:rPr>
                <w:rFonts w:cstheme="minorHAnsi"/>
                <w:lang w:val="es-ES"/>
              </w:rPr>
              <w:t>Crecimiento Urbano, Nivel de Urbanización y Fricción Territorial. Características de las distribuciones por “Rango – Tamaño”. Primacía Urbana y Macrocefalia Urbana.</w:t>
            </w:r>
          </w:p>
        </w:tc>
        <w:tc>
          <w:tcPr>
            <w:tcW w:w="1732" w:type="dxa"/>
          </w:tcPr>
          <w:p w:rsidR="001B1EBE" w:rsidRDefault="001B1EBE" w:rsidP="00D2058A">
            <w:r>
              <w:t xml:space="preserve"> </w:t>
            </w:r>
          </w:p>
        </w:tc>
      </w:tr>
      <w:tr w:rsidR="001B1EBE" w:rsidTr="001B1EBE">
        <w:tc>
          <w:tcPr>
            <w:tcW w:w="817" w:type="dxa"/>
          </w:tcPr>
          <w:p w:rsidR="001B1EBE" w:rsidRPr="006E315E" w:rsidRDefault="001B1EBE" w:rsidP="00D2058A">
            <w:pPr>
              <w:rPr>
                <w:sz w:val="20"/>
                <w:szCs w:val="20"/>
              </w:rPr>
            </w:pPr>
            <w:r w:rsidRPr="006E315E">
              <w:rPr>
                <w:sz w:val="20"/>
                <w:szCs w:val="20"/>
              </w:rPr>
              <w:t>7</w:t>
            </w:r>
          </w:p>
        </w:tc>
        <w:tc>
          <w:tcPr>
            <w:tcW w:w="851" w:type="dxa"/>
          </w:tcPr>
          <w:p w:rsidR="001B1EBE" w:rsidRPr="006E315E" w:rsidRDefault="001B1EBE" w:rsidP="00D2058A">
            <w:pPr>
              <w:rPr>
                <w:sz w:val="20"/>
                <w:szCs w:val="20"/>
              </w:rPr>
            </w:pPr>
            <w:r>
              <w:rPr>
                <w:sz w:val="20"/>
                <w:szCs w:val="20"/>
              </w:rPr>
              <w:t>7/5</w:t>
            </w:r>
          </w:p>
        </w:tc>
        <w:tc>
          <w:tcPr>
            <w:tcW w:w="992" w:type="dxa"/>
          </w:tcPr>
          <w:p w:rsidR="001B1EBE" w:rsidRPr="006E315E" w:rsidRDefault="001B1EBE" w:rsidP="00D2058A">
            <w:pPr>
              <w:rPr>
                <w:sz w:val="20"/>
                <w:szCs w:val="20"/>
              </w:rPr>
            </w:pPr>
            <w:r>
              <w:rPr>
                <w:sz w:val="20"/>
                <w:szCs w:val="20"/>
              </w:rPr>
              <w:t>2</w:t>
            </w:r>
          </w:p>
        </w:tc>
        <w:tc>
          <w:tcPr>
            <w:tcW w:w="4252" w:type="dxa"/>
          </w:tcPr>
          <w:p w:rsidR="001B1EBE" w:rsidRPr="006E315E" w:rsidRDefault="001B1EBE" w:rsidP="001B1EBE">
            <w:pPr>
              <w:jc w:val="both"/>
              <w:rPr>
                <w:sz w:val="20"/>
                <w:szCs w:val="20"/>
              </w:rPr>
            </w:pPr>
            <w:r>
              <w:rPr>
                <w:rFonts w:cstheme="minorHAnsi"/>
                <w:lang w:val="es-ES"/>
              </w:rPr>
              <w:t>La economía espacial urbana: análisis de la Teoría de localización industrial de Weber y la Teoría de los lugares centrales de Christaller.</w:t>
            </w:r>
          </w:p>
        </w:tc>
        <w:tc>
          <w:tcPr>
            <w:tcW w:w="1732" w:type="dxa"/>
          </w:tcPr>
          <w:p w:rsidR="001B1EBE" w:rsidRDefault="001B1EBE" w:rsidP="00D2058A"/>
        </w:tc>
      </w:tr>
      <w:tr w:rsidR="001B1EBE" w:rsidTr="001B1EBE">
        <w:tc>
          <w:tcPr>
            <w:tcW w:w="817" w:type="dxa"/>
          </w:tcPr>
          <w:p w:rsidR="001B1EBE" w:rsidRPr="006E315E" w:rsidRDefault="001B1EBE" w:rsidP="00D2058A">
            <w:pPr>
              <w:rPr>
                <w:sz w:val="20"/>
                <w:szCs w:val="20"/>
              </w:rPr>
            </w:pPr>
            <w:r w:rsidRPr="006E315E">
              <w:rPr>
                <w:sz w:val="20"/>
                <w:szCs w:val="20"/>
              </w:rPr>
              <w:t>8</w:t>
            </w:r>
          </w:p>
        </w:tc>
        <w:tc>
          <w:tcPr>
            <w:tcW w:w="851" w:type="dxa"/>
          </w:tcPr>
          <w:p w:rsidR="001B1EBE" w:rsidRPr="006E315E" w:rsidRDefault="001B1EBE" w:rsidP="00D2058A">
            <w:pPr>
              <w:rPr>
                <w:sz w:val="20"/>
                <w:szCs w:val="20"/>
              </w:rPr>
            </w:pPr>
            <w:r>
              <w:rPr>
                <w:sz w:val="20"/>
                <w:szCs w:val="20"/>
              </w:rPr>
              <w:t>14/5</w:t>
            </w:r>
          </w:p>
        </w:tc>
        <w:tc>
          <w:tcPr>
            <w:tcW w:w="992" w:type="dxa"/>
          </w:tcPr>
          <w:p w:rsidR="001B1EBE" w:rsidRPr="006E315E" w:rsidRDefault="001B1EBE" w:rsidP="00D2058A">
            <w:pPr>
              <w:rPr>
                <w:sz w:val="20"/>
                <w:szCs w:val="20"/>
              </w:rPr>
            </w:pPr>
            <w:r>
              <w:rPr>
                <w:sz w:val="20"/>
                <w:szCs w:val="20"/>
              </w:rPr>
              <w:t>2</w:t>
            </w:r>
          </w:p>
        </w:tc>
        <w:tc>
          <w:tcPr>
            <w:tcW w:w="4252" w:type="dxa"/>
          </w:tcPr>
          <w:p w:rsidR="001B1EBE" w:rsidRPr="006E315E" w:rsidRDefault="001B1EBE" w:rsidP="001B1EBE">
            <w:pPr>
              <w:jc w:val="both"/>
              <w:rPr>
                <w:sz w:val="20"/>
                <w:szCs w:val="20"/>
              </w:rPr>
            </w:pPr>
            <w:r>
              <w:rPr>
                <w:rFonts w:cstheme="minorHAnsi"/>
                <w:lang w:val="es-ES"/>
              </w:rPr>
              <w:t>Concepto de “Jerarquía urbana “, “Áreas de influencias” y los “Hinterland”.  Concepto de “Urbio –Periurbio – Suburbio”. Las “Postmetrópolis” según  Edward Soja.</w:t>
            </w:r>
          </w:p>
        </w:tc>
        <w:tc>
          <w:tcPr>
            <w:tcW w:w="1732" w:type="dxa"/>
          </w:tcPr>
          <w:p w:rsidR="001B1EBE" w:rsidRDefault="001B1EBE" w:rsidP="00D2058A"/>
        </w:tc>
      </w:tr>
      <w:tr w:rsidR="001B1EBE" w:rsidTr="001B1EBE">
        <w:tc>
          <w:tcPr>
            <w:tcW w:w="817" w:type="dxa"/>
          </w:tcPr>
          <w:p w:rsidR="001B1EBE" w:rsidRPr="006E315E" w:rsidRDefault="001B1EBE" w:rsidP="00D2058A">
            <w:pPr>
              <w:rPr>
                <w:sz w:val="20"/>
                <w:szCs w:val="20"/>
              </w:rPr>
            </w:pPr>
            <w:r w:rsidRPr="006E315E">
              <w:rPr>
                <w:sz w:val="20"/>
                <w:szCs w:val="20"/>
              </w:rPr>
              <w:t>9</w:t>
            </w:r>
          </w:p>
        </w:tc>
        <w:tc>
          <w:tcPr>
            <w:tcW w:w="851" w:type="dxa"/>
          </w:tcPr>
          <w:p w:rsidR="001B1EBE" w:rsidRPr="006E315E" w:rsidRDefault="001B1EBE" w:rsidP="00D2058A">
            <w:pPr>
              <w:rPr>
                <w:sz w:val="20"/>
                <w:szCs w:val="20"/>
              </w:rPr>
            </w:pPr>
            <w:r>
              <w:rPr>
                <w:sz w:val="20"/>
                <w:szCs w:val="20"/>
              </w:rPr>
              <w:t>21/5</w:t>
            </w:r>
          </w:p>
        </w:tc>
        <w:tc>
          <w:tcPr>
            <w:tcW w:w="992" w:type="dxa"/>
          </w:tcPr>
          <w:p w:rsidR="001B1EBE" w:rsidRPr="006E315E" w:rsidRDefault="001B1EBE" w:rsidP="00D2058A">
            <w:pPr>
              <w:rPr>
                <w:sz w:val="20"/>
                <w:szCs w:val="20"/>
              </w:rPr>
            </w:pPr>
            <w:r>
              <w:rPr>
                <w:sz w:val="20"/>
                <w:szCs w:val="20"/>
              </w:rPr>
              <w:t>3</w:t>
            </w:r>
          </w:p>
        </w:tc>
        <w:tc>
          <w:tcPr>
            <w:tcW w:w="4252" w:type="dxa"/>
          </w:tcPr>
          <w:p w:rsidR="001B1EBE" w:rsidRPr="006E315E" w:rsidRDefault="001B1EBE" w:rsidP="001B1EBE">
            <w:pPr>
              <w:jc w:val="both"/>
              <w:rPr>
                <w:sz w:val="20"/>
                <w:szCs w:val="20"/>
              </w:rPr>
            </w:pPr>
            <w:r>
              <w:rPr>
                <w:rFonts w:cstheme="minorHAnsi"/>
                <w:lang w:val="es-ES"/>
              </w:rPr>
              <w:t>La ciudad desde el urbanismo. El centro (CBD) y periferia en la ciudad. La ciudad policéntrica y los subcentros. Los tipos de trazados urbanos.</w:t>
            </w:r>
          </w:p>
        </w:tc>
        <w:tc>
          <w:tcPr>
            <w:tcW w:w="1732" w:type="dxa"/>
          </w:tcPr>
          <w:p w:rsidR="001B1EBE" w:rsidRDefault="001B1EBE" w:rsidP="00D2058A"/>
        </w:tc>
      </w:tr>
      <w:tr w:rsidR="001B1EBE" w:rsidTr="001B1EBE">
        <w:tc>
          <w:tcPr>
            <w:tcW w:w="817" w:type="dxa"/>
          </w:tcPr>
          <w:p w:rsidR="001B1EBE" w:rsidRPr="006E315E" w:rsidRDefault="001B1EBE" w:rsidP="00D2058A">
            <w:pPr>
              <w:rPr>
                <w:sz w:val="20"/>
                <w:szCs w:val="20"/>
              </w:rPr>
            </w:pPr>
            <w:r w:rsidRPr="006E315E">
              <w:rPr>
                <w:sz w:val="20"/>
                <w:szCs w:val="20"/>
              </w:rPr>
              <w:t>10</w:t>
            </w:r>
          </w:p>
        </w:tc>
        <w:tc>
          <w:tcPr>
            <w:tcW w:w="851" w:type="dxa"/>
          </w:tcPr>
          <w:p w:rsidR="001B1EBE" w:rsidRPr="006E315E" w:rsidRDefault="001B1EBE" w:rsidP="00D2058A">
            <w:pPr>
              <w:rPr>
                <w:sz w:val="20"/>
                <w:szCs w:val="20"/>
              </w:rPr>
            </w:pPr>
            <w:r>
              <w:rPr>
                <w:sz w:val="20"/>
                <w:szCs w:val="20"/>
              </w:rPr>
              <w:t>28/5</w:t>
            </w:r>
          </w:p>
        </w:tc>
        <w:tc>
          <w:tcPr>
            <w:tcW w:w="992" w:type="dxa"/>
          </w:tcPr>
          <w:p w:rsidR="001B1EBE" w:rsidRPr="006E315E" w:rsidRDefault="001B1EBE" w:rsidP="00D2058A">
            <w:pPr>
              <w:rPr>
                <w:sz w:val="20"/>
                <w:szCs w:val="20"/>
              </w:rPr>
            </w:pPr>
            <w:r>
              <w:rPr>
                <w:sz w:val="20"/>
                <w:szCs w:val="20"/>
              </w:rPr>
              <w:t>3</w:t>
            </w:r>
          </w:p>
        </w:tc>
        <w:tc>
          <w:tcPr>
            <w:tcW w:w="4252" w:type="dxa"/>
          </w:tcPr>
          <w:p w:rsidR="001B1EBE" w:rsidRPr="006E315E" w:rsidRDefault="001B1EBE" w:rsidP="001B1EBE">
            <w:pPr>
              <w:jc w:val="both"/>
              <w:rPr>
                <w:sz w:val="20"/>
                <w:szCs w:val="20"/>
              </w:rPr>
            </w:pPr>
            <w:r>
              <w:rPr>
                <w:rFonts w:cstheme="minorHAnsi"/>
                <w:lang w:val="es-ES"/>
              </w:rPr>
              <w:t xml:space="preserve">La ciudad concéntrica, la ciudad archipiélago y la ciudad difusa. Los usos del suelo urbano: el distrito central, áreas comerciales, áreas </w:t>
            </w:r>
            <w:r>
              <w:rPr>
                <w:rFonts w:cstheme="minorHAnsi"/>
                <w:lang w:val="es-ES"/>
              </w:rPr>
              <w:lastRenderedPageBreak/>
              <w:t>industriales, áreas nodales, áreas residenciales y áreas marginales. Las urbanizaciones cerradas: Estudios de casos en el AMBA. Análisis del Plan Urbano Ambiental.</w:t>
            </w:r>
          </w:p>
        </w:tc>
        <w:tc>
          <w:tcPr>
            <w:tcW w:w="1732" w:type="dxa"/>
          </w:tcPr>
          <w:p w:rsidR="001B1EBE" w:rsidRDefault="001B1EBE" w:rsidP="00D2058A"/>
        </w:tc>
      </w:tr>
      <w:tr w:rsidR="001B1EBE" w:rsidTr="001B1EBE">
        <w:tc>
          <w:tcPr>
            <w:tcW w:w="817" w:type="dxa"/>
          </w:tcPr>
          <w:p w:rsidR="001B1EBE" w:rsidRPr="006E315E" w:rsidRDefault="001B1EBE" w:rsidP="00D2058A">
            <w:pPr>
              <w:rPr>
                <w:sz w:val="20"/>
                <w:szCs w:val="20"/>
              </w:rPr>
            </w:pPr>
            <w:r w:rsidRPr="006E315E">
              <w:rPr>
                <w:sz w:val="20"/>
                <w:szCs w:val="20"/>
              </w:rPr>
              <w:lastRenderedPageBreak/>
              <w:t>11</w:t>
            </w:r>
          </w:p>
        </w:tc>
        <w:tc>
          <w:tcPr>
            <w:tcW w:w="851" w:type="dxa"/>
          </w:tcPr>
          <w:p w:rsidR="001B1EBE" w:rsidRPr="006E315E" w:rsidRDefault="001B1EBE" w:rsidP="00D2058A">
            <w:pPr>
              <w:rPr>
                <w:sz w:val="20"/>
                <w:szCs w:val="20"/>
              </w:rPr>
            </w:pPr>
            <w:r>
              <w:rPr>
                <w:sz w:val="20"/>
                <w:szCs w:val="20"/>
              </w:rPr>
              <w:t>4/6</w:t>
            </w:r>
          </w:p>
        </w:tc>
        <w:tc>
          <w:tcPr>
            <w:tcW w:w="992" w:type="dxa"/>
          </w:tcPr>
          <w:p w:rsidR="001B1EBE" w:rsidRPr="006E315E" w:rsidRDefault="001B1EBE" w:rsidP="00D2058A">
            <w:pPr>
              <w:rPr>
                <w:sz w:val="20"/>
                <w:szCs w:val="20"/>
              </w:rPr>
            </w:pPr>
            <w:r>
              <w:rPr>
                <w:sz w:val="20"/>
                <w:szCs w:val="20"/>
              </w:rPr>
              <w:t>4</w:t>
            </w:r>
          </w:p>
        </w:tc>
        <w:tc>
          <w:tcPr>
            <w:tcW w:w="4252" w:type="dxa"/>
          </w:tcPr>
          <w:p w:rsidR="001B1EBE" w:rsidRPr="006E315E" w:rsidRDefault="001B1EBE" w:rsidP="001B1EBE">
            <w:pPr>
              <w:jc w:val="both"/>
              <w:rPr>
                <w:sz w:val="20"/>
                <w:szCs w:val="20"/>
              </w:rPr>
            </w:pPr>
            <w:r>
              <w:rPr>
                <w:rFonts w:cstheme="minorHAnsi"/>
                <w:lang w:val="es-ES"/>
              </w:rPr>
              <w:t>El espacio analizado desde la economía urbana. Los costos de la Tierra. Accesibilidad a la ciudad. El “boom inmobiliarios”. La competitividad del espacio urbano.  Desarrollo Urbano: Estudio de Caso del Barrio El Raval – Barcelona ‘92. Ciudades en Redes y Flujos económicos.</w:t>
            </w:r>
          </w:p>
        </w:tc>
        <w:tc>
          <w:tcPr>
            <w:tcW w:w="1732" w:type="dxa"/>
          </w:tcPr>
          <w:p w:rsidR="001B1EBE" w:rsidRDefault="001B1EBE" w:rsidP="00D2058A"/>
        </w:tc>
      </w:tr>
      <w:tr w:rsidR="001B1EBE" w:rsidTr="001B1EBE">
        <w:tc>
          <w:tcPr>
            <w:tcW w:w="817" w:type="dxa"/>
          </w:tcPr>
          <w:p w:rsidR="001B1EBE" w:rsidRPr="006E315E" w:rsidRDefault="001B1EBE" w:rsidP="00D2058A">
            <w:pPr>
              <w:rPr>
                <w:sz w:val="20"/>
                <w:szCs w:val="20"/>
              </w:rPr>
            </w:pPr>
            <w:r w:rsidRPr="006E315E">
              <w:rPr>
                <w:sz w:val="20"/>
                <w:szCs w:val="20"/>
              </w:rPr>
              <w:t>12</w:t>
            </w:r>
          </w:p>
        </w:tc>
        <w:tc>
          <w:tcPr>
            <w:tcW w:w="851" w:type="dxa"/>
          </w:tcPr>
          <w:p w:rsidR="001B1EBE" w:rsidRPr="006E315E" w:rsidRDefault="001B1EBE" w:rsidP="00D2058A">
            <w:pPr>
              <w:rPr>
                <w:sz w:val="20"/>
                <w:szCs w:val="20"/>
              </w:rPr>
            </w:pPr>
            <w:r>
              <w:rPr>
                <w:sz w:val="20"/>
                <w:szCs w:val="20"/>
              </w:rPr>
              <w:t>11/6</w:t>
            </w:r>
          </w:p>
        </w:tc>
        <w:tc>
          <w:tcPr>
            <w:tcW w:w="992" w:type="dxa"/>
          </w:tcPr>
          <w:p w:rsidR="001B1EBE" w:rsidRPr="006E315E" w:rsidRDefault="001B1EBE" w:rsidP="00D2058A">
            <w:pPr>
              <w:rPr>
                <w:sz w:val="20"/>
                <w:szCs w:val="20"/>
              </w:rPr>
            </w:pPr>
            <w:r>
              <w:rPr>
                <w:sz w:val="20"/>
                <w:szCs w:val="20"/>
              </w:rPr>
              <w:t>4</w:t>
            </w:r>
          </w:p>
        </w:tc>
        <w:tc>
          <w:tcPr>
            <w:tcW w:w="4252" w:type="dxa"/>
          </w:tcPr>
          <w:p w:rsidR="001B1EBE" w:rsidRPr="006E315E" w:rsidRDefault="001B1EBE" w:rsidP="001B1EBE">
            <w:pPr>
              <w:jc w:val="both"/>
              <w:rPr>
                <w:sz w:val="20"/>
                <w:szCs w:val="20"/>
              </w:rPr>
            </w:pPr>
            <w:r>
              <w:rPr>
                <w:rFonts w:cstheme="minorHAnsi"/>
                <w:lang w:val="es-ES"/>
              </w:rPr>
              <w:t>El transporte y movilidad urbana: análisis e impactos territoriales. Los procesos de “Gentrificación” y los usos emergentes del suelo urbano: El reciclaje urbano. El barrio en la Teoría Social: el sentido de pertenecía.  Los imaginarios urbanos: el ser de “adentro” y de “afuera”.</w:t>
            </w:r>
          </w:p>
        </w:tc>
        <w:tc>
          <w:tcPr>
            <w:tcW w:w="1732" w:type="dxa"/>
          </w:tcPr>
          <w:p w:rsidR="001B1EBE" w:rsidRDefault="001B1EBE" w:rsidP="00D2058A"/>
        </w:tc>
      </w:tr>
      <w:tr w:rsidR="001B1EBE" w:rsidTr="001B1EBE">
        <w:tc>
          <w:tcPr>
            <w:tcW w:w="817" w:type="dxa"/>
            <w:shd w:val="clear" w:color="auto" w:fill="FFFFFF" w:themeFill="background1"/>
          </w:tcPr>
          <w:p w:rsidR="001B1EBE" w:rsidRPr="006E315E" w:rsidRDefault="001B1EBE" w:rsidP="00D2058A">
            <w:pPr>
              <w:rPr>
                <w:sz w:val="20"/>
                <w:szCs w:val="20"/>
              </w:rPr>
            </w:pPr>
            <w:r w:rsidRPr="006E315E">
              <w:rPr>
                <w:sz w:val="20"/>
                <w:szCs w:val="20"/>
              </w:rPr>
              <w:t>13</w:t>
            </w:r>
          </w:p>
        </w:tc>
        <w:tc>
          <w:tcPr>
            <w:tcW w:w="851" w:type="dxa"/>
            <w:shd w:val="clear" w:color="auto" w:fill="FFFFFF" w:themeFill="background1"/>
          </w:tcPr>
          <w:p w:rsidR="001B1EBE" w:rsidRPr="006E315E" w:rsidRDefault="001B1EBE" w:rsidP="00D2058A">
            <w:pPr>
              <w:rPr>
                <w:sz w:val="20"/>
                <w:szCs w:val="20"/>
              </w:rPr>
            </w:pPr>
            <w:r>
              <w:rPr>
                <w:sz w:val="20"/>
                <w:szCs w:val="20"/>
              </w:rPr>
              <w:t>18/6</w:t>
            </w:r>
          </w:p>
        </w:tc>
        <w:tc>
          <w:tcPr>
            <w:tcW w:w="992" w:type="dxa"/>
            <w:shd w:val="clear" w:color="auto" w:fill="FFFFFF" w:themeFill="background1"/>
          </w:tcPr>
          <w:p w:rsidR="001B1EBE" w:rsidRPr="006E315E" w:rsidRDefault="001B1EBE" w:rsidP="00D2058A">
            <w:pPr>
              <w:rPr>
                <w:sz w:val="20"/>
                <w:szCs w:val="20"/>
              </w:rPr>
            </w:pPr>
            <w:r>
              <w:rPr>
                <w:sz w:val="20"/>
                <w:szCs w:val="20"/>
              </w:rPr>
              <w:t>4</w:t>
            </w:r>
          </w:p>
        </w:tc>
        <w:tc>
          <w:tcPr>
            <w:tcW w:w="4252" w:type="dxa"/>
            <w:shd w:val="clear" w:color="auto" w:fill="FFFFFF" w:themeFill="background1"/>
          </w:tcPr>
          <w:p w:rsidR="001B1EBE" w:rsidRPr="006E315E" w:rsidRDefault="001B1EBE" w:rsidP="001B1EBE">
            <w:pPr>
              <w:jc w:val="both"/>
              <w:rPr>
                <w:sz w:val="20"/>
                <w:szCs w:val="20"/>
              </w:rPr>
            </w:pPr>
            <w:r>
              <w:rPr>
                <w:rFonts w:cstheme="minorHAnsi"/>
                <w:lang w:val="es-ES"/>
              </w:rPr>
              <w:t>La geografía de la percepción aplicada al espacio urbano: los espacios del miedo y discriminación socio-espacial. El  estudio del Síndrome de N.I.M.B.Y , Y.I.M.B.Y. y L.U.L.U. (</w:t>
            </w:r>
            <w:r w:rsidRPr="004222C8">
              <w:rPr>
                <w:rFonts w:cstheme="minorHAnsi"/>
              </w:rPr>
              <w:t>Locally Undesirable Land Uses, “Usos Del Suelo Localmente No Deseados”</w:t>
            </w:r>
            <w:r>
              <w:rPr>
                <w:rFonts w:cstheme="minorHAnsi"/>
              </w:rPr>
              <w:t>)</w:t>
            </w:r>
            <w:r>
              <w:rPr>
                <w:rFonts w:cstheme="minorHAnsi"/>
                <w:lang w:val="es-ES"/>
              </w:rPr>
              <w:t xml:space="preserve"> .  </w:t>
            </w:r>
          </w:p>
        </w:tc>
        <w:tc>
          <w:tcPr>
            <w:tcW w:w="1732" w:type="dxa"/>
            <w:shd w:val="clear" w:color="auto" w:fill="FFFFFF" w:themeFill="background1"/>
          </w:tcPr>
          <w:p w:rsidR="001B1EBE" w:rsidRDefault="001B1EBE" w:rsidP="00D2058A"/>
        </w:tc>
      </w:tr>
      <w:tr w:rsidR="001B1EBE" w:rsidTr="001B1EBE">
        <w:tc>
          <w:tcPr>
            <w:tcW w:w="817" w:type="dxa"/>
          </w:tcPr>
          <w:p w:rsidR="001B1EBE" w:rsidRPr="006E315E" w:rsidRDefault="001B1EBE" w:rsidP="00D2058A">
            <w:pPr>
              <w:rPr>
                <w:sz w:val="20"/>
                <w:szCs w:val="20"/>
              </w:rPr>
            </w:pPr>
            <w:r w:rsidRPr="006E315E">
              <w:rPr>
                <w:sz w:val="20"/>
                <w:szCs w:val="20"/>
              </w:rPr>
              <w:t>14</w:t>
            </w:r>
          </w:p>
        </w:tc>
        <w:tc>
          <w:tcPr>
            <w:tcW w:w="851" w:type="dxa"/>
          </w:tcPr>
          <w:p w:rsidR="001B1EBE" w:rsidRPr="006E315E" w:rsidRDefault="001B1EBE" w:rsidP="00D2058A">
            <w:pPr>
              <w:rPr>
                <w:sz w:val="20"/>
                <w:szCs w:val="20"/>
              </w:rPr>
            </w:pPr>
            <w:r>
              <w:rPr>
                <w:sz w:val="20"/>
                <w:szCs w:val="20"/>
              </w:rPr>
              <w:t>25/6</w:t>
            </w:r>
          </w:p>
        </w:tc>
        <w:tc>
          <w:tcPr>
            <w:tcW w:w="992" w:type="dxa"/>
          </w:tcPr>
          <w:p w:rsidR="001B1EBE" w:rsidRPr="006E315E" w:rsidRDefault="001B1EBE" w:rsidP="00D2058A">
            <w:pPr>
              <w:rPr>
                <w:sz w:val="20"/>
                <w:szCs w:val="20"/>
              </w:rPr>
            </w:pPr>
            <w:r>
              <w:rPr>
                <w:sz w:val="20"/>
                <w:szCs w:val="20"/>
              </w:rPr>
              <w:t>4</w:t>
            </w:r>
          </w:p>
        </w:tc>
        <w:tc>
          <w:tcPr>
            <w:tcW w:w="4252" w:type="dxa"/>
          </w:tcPr>
          <w:p w:rsidR="001B1EBE" w:rsidRPr="001B1EBE" w:rsidRDefault="001B1EBE" w:rsidP="001B1EBE">
            <w:pPr>
              <w:jc w:val="both"/>
              <w:rPr>
                <w:rFonts w:cstheme="minorHAnsi"/>
                <w:lang w:val="es-ES"/>
              </w:rPr>
            </w:pPr>
            <w:r>
              <w:rPr>
                <w:rFonts w:cstheme="minorHAnsi"/>
                <w:lang w:val="es-ES"/>
              </w:rPr>
              <w:t xml:space="preserve">El impacto de los Gobiernos en la ciudad: Análisis de la función municipal.  </w:t>
            </w:r>
          </w:p>
        </w:tc>
        <w:tc>
          <w:tcPr>
            <w:tcW w:w="1732" w:type="dxa"/>
          </w:tcPr>
          <w:p w:rsidR="001B1EBE" w:rsidRDefault="001B1EBE" w:rsidP="00D2058A"/>
        </w:tc>
      </w:tr>
      <w:tr w:rsidR="001B1EBE" w:rsidTr="001B1EBE">
        <w:tc>
          <w:tcPr>
            <w:tcW w:w="817" w:type="dxa"/>
          </w:tcPr>
          <w:p w:rsidR="001B1EBE" w:rsidRPr="006E315E" w:rsidRDefault="001B1EBE" w:rsidP="00D2058A">
            <w:pPr>
              <w:rPr>
                <w:sz w:val="20"/>
                <w:szCs w:val="20"/>
              </w:rPr>
            </w:pPr>
            <w:r w:rsidRPr="006E315E">
              <w:rPr>
                <w:sz w:val="20"/>
                <w:szCs w:val="20"/>
              </w:rPr>
              <w:t>15</w:t>
            </w:r>
          </w:p>
        </w:tc>
        <w:tc>
          <w:tcPr>
            <w:tcW w:w="851" w:type="dxa"/>
          </w:tcPr>
          <w:p w:rsidR="001B1EBE" w:rsidRPr="006E315E" w:rsidRDefault="001B1EBE" w:rsidP="00D2058A">
            <w:pPr>
              <w:rPr>
                <w:sz w:val="20"/>
                <w:szCs w:val="20"/>
              </w:rPr>
            </w:pPr>
            <w:r>
              <w:rPr>
                <w:sz w:val="20"/>
                <w:szCs w:val="20"/>
              </w:rPr>
              <w:t>2/7</w:t>
            </w:r>
          </w:p>
        </w:tc>
        <w:tc>
          <w:tcPr>
            <w:tcW w:w="992" w:type="dxa"/>
          </w:tcPr>
          <w:p w:rsidR="001B1EBE" w:rsidRPr="006E315E" w:rsidRDefault="001B1EBE" w:rsidP="00D2058A">
            <w:pPr>
              <w:rPr>
                <w:sz w:val="20"/>
                <w:szCs w:val="20"/>
              </w:rPr>
            </w:pPr>
            <w:r>
              <w:rPr>
                <w:sz w:val="20"/>
                <w:szCs w:val="20"/>
              </w:rPr>
              <w:t>4</w:t>
            </w:r>
          </w:p>
        </w:tc>
        <w:tc>
          <w:tcPr>
            <w:tcW w:w="4252" w:type="dxa"/>
          </w:tcPr>
          <w:p w:rsidR="001B1EBE" w:rsidRPr="006E315E" w:rsidRDefault="001B1EBE" w:rsidP="001B1EBE">
            <w:pPr>
              <w:jc w:val="both"/>
              <w:rPr>
                <w:sz w:val="20"/>
                <w:szCs w:val="20"/>
              </w:rPr>
            </w:pPr>
            <w:r>
              <w:rPr>
                <w:rFonts w:cstheme="minorHAnsi"/>
                <w:lang w:val="es-ES"/>
              </w:rPr>
              <w:t>La C.A.B.A. y la división comunal. Las ONG en la construcción política de la ciudad: Estudio de caso de la ONG “Un techo para mi país”.</w:t>
            </w:r>
          </w:p>
        </w:tc>
        <w:tc>
          <w:tcPr>
            <w:tcW w:w="1732" w:type="dxa"/>
          </w:tcPr>
          <w:p w:rsidR="001B1EBE" w:rsidRDefault="001B1EBE" w:rsidP="00D2058A"/>
        </w:tc>
      </w:tr>
      <w:tr w:rsidR="001B1EBE" w:rsidTr="001B1EBE">
        <w:tc>
          <w:tcPr>
            <w:tcW w:w="817" w:type="dxa"/>
          </w:tcPr>
          <w:p w:rsidR="001B1EBE" w:rsidRPr="006E315E" w:rsidRDefault="001B1EBE" w:rsidP="00D2058A">
            <w:pPr>
              <w:rPr>
                <w:sz w:val="20"/>
                <w:szCs w:val="20"/>
              </w:rPr>
            </w:pPr>
            <w:r w:rsidRPr="006E315E">
              <w:rPr>
                <w:sz w:val="20"/>
                <w:szCs w:val="20"/>
              </w:rPr>
              <w:t>16</w:t>
            </w:r>
          </w:p>
        </w:tc>
        <w:tc>
          <w:tcPr>
            <w:tcW w:w="851" w:type="dxa"/>
          </w:tcPr>
          <w:p w:rsidR="001B1EBE" w:rsidRPr="006E315E" w:rsidRDefault="001B1EBE" w:rsidP="00D2058A">
            <w:pPr>
              <w:rPr>
                <w:sz w:val="20"/>
                <w:szCs w:val="20"/>
              </w:rPr>
            </w:pPr>
            <w:r>
              <w:rPr>
                <w:sz w:val="20"/>
                <w:szCs w:val="20"/>
              </w:rPr>
              <w:t>9/7</w:t>
            </w:r>
          </w:p>
        </w:tc>
        <w:tc>
          <w:tcPr>
            <w:tcW w:w="992" w:type="dxa"/>
          </w:tcPr>
          <w:p w:rsidR="001B1EBE" w:rsidRPr="006E315E" w:rsidRDefault="001B1EBE" w:rsidP="00D2058A">
            <w:pPr>
              <w:rPr>
                <w:sz w:val="20"/>
                <w:szCs w:val="20"/>
              </w:rPr>
            </w:pPr>
            <w:r>
              <w:rPr>
                <w:sz w:val="20"/>
                <w:szCs w:val="20"/>
              </w:rPr>
              <w:t>INTEGR</w:t>
            </w:r>
          </w:p>
        </w:tc>
        <w:tc>
          <w:tcPr>
            <w:tcW w:w="4252" w:type="dxa"/>
          </w:tcPr>
          <w:p w:rsidR="001B1EBE" w:rsidRPr="006E315E" w:rsidRDefault="001B1EBE" w:rsidP="001B1EBE">
            <w:pPr>
              <w:jc w:val="both"/>
              <w:rPr>
                <w:sz w:val="20"/>
                <w:szCs w:val="20"/>
              </w:rPr>
            </w:pPr>
            <w:r>
              <w:rPr>
                <w:sz w:val="20"/>
                <w:szCs w:val="20"/>
              </w:rPr>
              <w:t>SALIDA DIDÁCTICA – CIRCUITO URBANO</w:t>
            </w:r>
          </w:p>
        </w:tc>
        <w:tc>
          <w:tcPr>
            <w:tcW w:w="1732" w:type="dxa"/>
          </w:tcPr>
          <w:p w:rsidR="001B1EBE" w:rsidRDefault="001B1EBE" w:rsidP="00D2058A"/>
        </w:tc>
      </w:tr>
    </w:tbl>
    <w:p w:rsidR="001B1EBE" w:rsidRDefault="001B1EBE" w:rsidP="001B1EBE"/>
    <w:p w:rsidR="001B1EBE" w:rsidRDefault="001B1EBE" w:rsidP="001B1EBE">
      <w:pPr>
        <w:jc w:val="right"/>
      </w:pPr>
      <w:r>
        <w:t xml:space="preserve">Ariel Gonzalez </w:t>
      </w:r>
    </w:p>
    <w:p w:rsidR="001B1EBE" w:rsidRPr="00D05629" w:rsidRDefault="001B1EBE" w:rsidP="001B1EBE">
      <w:pPr>
        <w:jc w:val="right"/>
        <w:rPr>
          <w:i/>
        </w:rPr>
      </w:pPr>
      <w:r w:rsidRPr="00D05629">
        <w:rPr>
          <w:i/>
        </w:rPr>
        <w:t>Lic. en Geografía</w:t>
      </w:r>
    </w:p>
    <w:p w:rsidR="001B1EBE" w:rsidRDefault="001B1EBE" w:rsidP="001B1EBE"/>
    <w:p w:rsidR="00A00ACD" w:rsidRDefault="00A00ACD"/>
    <w:sectPr w:rsidR="00A00ACD" w:rsidSect="00A94D08">
      <w:headerReference w:type="default"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84707"/>
      <w:docPartObj>
        <w:docPartGallery w:val="Page Numbers (Bottom of Page)"/>
        <w:docPartUnique/>
      </w:docPartObj>
    </w:sdtPr>
    <w:sdtEndPr/>
    <w:sdtContent>
      <w:p w:rsidR="00735610" w:rsidRDefault="001B1EBE">
        <w:pPr>
          <w:pStyle w:val="Piedepgina"/>
          <w:jc w:val="center"/>
        </w:pPr>
        <w:r w:rsidRPr="00A70B2D">
          <w:rPr>
            <w:sz w:val="16"/>
            <w:szCs w:val="16"/>
          </w:rPr>
          <w:fldChar w:fldCharType="begin"/>
        </w:r>
        <w:r w:rsidRPr="00A70B2D">
          <w:rPr>
            <w:sz w:val="16"/>
            <w:szCs w:val="16"/>
          </w:rPr>
          <w:instrText xml:space="preserve"> PAGE   \* MERGEFORMAT</w:instrText>
        </w:r>
        <w:r w:rsidRPr="00A70B2D">
          <w:rPr>
            <w:sz w:val="16"/>
            <w:szCs w:val="16"/>
          </w:rPr>
          <w:instrText xml:space="preserve"> </w:instrText>
        </w:r>
        <w:r w:rsidRPr="00A70B2D">
          <w:rPr>
            <w:sz w:val="16"/>
            <w:szCs w:val="16"/>
          </w:rPr>
          <w:fldChar w:fldCharType="separate"/>
        </w:r>
        <w:r>
          <w:rPr>
            <w:noProof/>
            <w:sz w:val="16"/>
            <w:szCs w:val="16"/>
          </w:rPr>
          <w:t>1</w:t>
        </w:r>
        <w:r w:rsidRPr="00A70B2D">
          <w:rPr>
            <w:sz w:val="16"/>
            <w:szCs w:val="16"/>
          </w:rPr>
          <w:fldChar w:fldCharType="end"/>
        </w:r>
      </w:p>
    </w:sdtContent>
  </w:sdt>
  <w:p w:rsidR="00735610" w:rsidRDefault="001B1EBE">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10" w:rsidRPr="00F015C0" w:rsidRDefault="001B1EBE" w:rsidP="006E315E">
    <w:pPr>
      <w:pStyle w:val="Ttulo2"/>
      <w:spacing w:before="0" w:after="0"/>
      <w:jc w:val="right"/>
      <w:rPr>
        <w:rFonts w:ascii="Arial" w:hAnsi="Arial" w:cs="Arial"/>
        <w:sz w:val="22"/>
        <w:szCs w:val="24"/>
      </w:rPr>
    </w:pPr>
    <w:r>
      <w:rPr>
        <w:rFonts w:ascii="Arial" w:hAnsi="Arial" w:cs="Arial"/>
        <w:noProof/>
        <w:sz w:val="22"/>
        <w:szCs w:val="24"/>
        <w:lang w:val="es-PE" w:eastAsia="es-PE"/>
      </w:rPr>
      <w:drawing>
        <wp:anchor distT="0" distB="0" distL="114300" distR="114300" simplePos="0" relativeHeight="251659264" behindDoc="1" locked="0" layoutInCell="1" allowOverlap="1">
          <wp:simplePos x="0" y="0"/>
          <wp:positionH relativeFrom="column">
            <wp:posOffset>-242570</wp:posOffset>
          </wp:positionH>
          <wp:positionV relativeFrom="paragraph">
            <wp:posOffset>-3175</wp:posOffset>
          </wp:positionV>
          <wp:extent cx="522605" cy="584200"/>
          <wp:effectExtent l="19050" t="0" r="0" b="0"/>
          <wp:wrapThrough wrapText="bothSides">
            <wp:wrapPolygon edited="0">
              <wp:start x="-787" y="0"/>
              <wp:lineTo x="-787" y="21130"/>
              <wp:lineTo x="21259" y="21130"/>
              <wp:lineTo x="21259" y="0"/>
              <wp:lineTo x="-787" y="0"/>
            </wp:wrapPolygon>
          </wp:wrapThrough>
          <wp:docPr id="3" name="Imagen 4" descr="escudo consu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consudec-"/>
                  <pic:cNvPicPr>
                    <a:picLocks noChangeAspect="1" noChangeArrowheads="1"/>
                  </pic:cNvPicPr>
                </pic:nvPicPr>
                <pic:blipFill>
                  <a:blip r:embed="rId1"/>
                  <a:srcRect/>
                  <a:stretch>
                    <a:fillRect/>
                  </a:stretch>
                </pic:blipFill>
                <pic:spPr bwMode="auto">
                  <a:xfrm>
                    <a:off x="0" y="0"/>
                    <a:ext cx="522605" cy="584200"/>
                  </a:xfrm>
                  <a:prstGeom prst="rect">
                    <a:avLst/>
                  </a:prstGeom>
                  <a:noFill/>
                </pic:spPr>
              </pic:pic>
            </a:graphicData>
          </a:graphic>
        </wp:anchor>
      </w:drawing>
    </w:r>
    <w:r w:rsidRPr="00F015C0">
      <w:rPr>
        <w:rFonts w:ascii="Arial" w:hAnsi="Arial" w:cs="Arial"/>
        <w:sz w:val="22"/>
        <w:szCs w:val="24"/>
      </w:rPr>
      <w:t xml:space="preserve">Instituto de Profesorado CONSUDEC </w:t>
    </w:r>
    <w:r w:rsidRPr="00F015C0">
      <w:rPr>
        <w:rFonts w:ascii="Arial" w:hAnsi="Arial" w:cs="Arial"/>
        <w:b w:val="0"/>
        <w:sz w:val="22"/>
        <w:szCs w:val="24"/>
      </w:rPr>
      <w:t xml:space="preserve">(V-5)                                                                              </w:t>
    </w:r>
  </w:p>
  <w:p w:rsidR="00735610" w:rsidRDefault="001B1EBE" w:rsidP="006E315E">
    <w:pPr>
      <w:jc w:val="right"/>
      <w:rPr>
        <w:rFonts w:ascii="Arial" w:hAnsi="Arial" w:cs="Arial"/>
      </w:rPr>
    </w:pPr>
    <w:r w:rsidRPr="00F015C0">
      <w:rPr>
        <w:rFonts w:ascii="Arial" w:hAnsi="Arial" w:cs="Arial"/>
      </w:rPr>
      <w:tab/>
    </w:r>
    <w:r>
      <w:rPr>
        <w:rFonts w:ascii="Arial" w:hAnsi="Arial" w:cs="Arial"/>
      </w:rPr>
      <w:t xml:space="preserve">Esmeralda 759- C1007ABG - </w:t>
    </w:r>
    <w:r w:rsidRPr="00F015C0">
      <w:rPr>
        <w:rFonts w:ascii="Arial" w:hAnsi="Arial" w:cs="Arial"/>
      </w:rPr>
      <w:t>Buenos Aires</w:t>
    </w:r>
  </w:p>
  <w:p w:rsidR="00735610" w:rsidRDefault="001B1EBE" w:rsidP="006E315E">
    <w:pPr>
      <w:pBdr>
        <w:bottom w:val="single" w:sz="4" w:space="1" w:color="auto"/>
      </w:pBdr>
      <w:jc w:val="right"/>
    </w:pPr>
    <w:r w:rsidRPr="00A82B74">
      <w:rPr>
        <w:i/>
      </w:rPr>
      <w:t xml:space="preserve">                  “Desde 1949 prestigiando la formación docente argentina”</w:t>
    </w:r>
  </w:p>
  <w:p w:rsidR="00735610" w:rsidRDefault="001B1EB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savePreviewPicture/>
  <w:compat/>
  <w:rsids>
    <w:rsidRoot w:val="001B1EBE"/>
    <w:rsid w:val="001B1EBE"/>
    <w:rsid w:val="00A00AC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style>
  <w:style w:type="paragraph" w:styleId="Ttulo2">
    <w:name w:val="heading 2"/>
    <w:basedOn w:val="Normal"/>
    <w:next w:val="Normal"/>
    <w:link w:val="Ttulo2Car"/>
    <w:qFormat/>
    <w:rsid w:val="001B1EBE"/>
    <w:pPr>
      <w:keepNext/>
      <w:spacing w:before="240" w:after="60" w:line="240" w:lineRule="auto"/>
      <w:outlineLvl w:val="1"/>
    </w:pPr>
    <w:rPr>
      <w:rFonts w:ascii="Calibri" w:eastAsia="MS Gothic" w:hAnsi="Calibri"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B1EBE"/>
    <w:rPr>
      <w:rFonts w:ascii="Calibri" w:eastAsia="MS Gothic" w:hAnsi="Calibri" w:cs="Times New Roman"/>
      <w:b/>
      <w:bCs/>
      <w:i/>
      <w:iCs/>
      <w:sz w:val="28"/>
      <w:szCs w:val="28"/>
      <w:lang w:val="es-ES" w:eastAsia="es-ES"/>
    </w:rPr>
  </w:style>
  <w:style w:type="table" w:styleId="Tablaconcuadrcula">
    <w:name w:val="Table Grid"/>
    <w:basedOn w:val="Tablanormal"/>
    <w:uiPriority w:val="59"/>
    <w:rsid w:val="001B1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B1E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1EBE"/>
  </w:style>
  <w:style w:type="paragraph" w:styleId="Piedepgina">
    <w:name w:val="footer"/>
    <w:basedOn w:val="Normal"/>
    <w:link w:val="PiedepginaCar"/>
    <w:uiPriority w:val="99"/>
    <w:unhideWhenUsed/>
    <w:rsid w:val="001B1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1E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FF5A-9E95-48A9-A2B6-FEFADE48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2798</Characters>
  <Application>Microsoft Office Word</Application>
  <DocSecurity>0</DocSecurity>
  <Lines>23</Lines>
  <Paragraphs>6</Paragraphs>
  <ScaleCrop>false</ScaleCrop>
  <Company>HP</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2020-03-22T00:45:00Z</dcterms:created>
  <dcterms:modified xsi:type="dcterms:W3CDTF">2020-03-22T00:54:00Z</dcterms:modified>
</cp:coreProperties>
</file>